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—201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学年第一学期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专业学位硕士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政治理论课课程论文信息汇总表</w:t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（按学号顺序填写）</w:t>
      </w:r>
    </w:p>
    <w:tbl>
      <w:tblPr>
        <w:tblStyle w:val="3"/>
        <w:tblW w:w="918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6"/>
        <w:gridCol w:w="1260"/>
        <w:gridCol w:w="1080"/>
        <w:gridCol w:w="27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学院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学号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课程论文题目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成绩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pacing w:val="8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kern w:val="0"/>
          <w:sz w:val="28"/>
          <w:szCs w:val="28"/>
        </w:rPr>
        <w:t>作业收交人：               联系电话：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spacing w:line="360" w:lineRule="auto"/>
        <w:ind w:firstLine="6580" w:firstLineChars="2350"/>
        <w:rPr>
          <w:rFonts w:hint="eastAsia"/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170B8"/>
    <w:rsid w:val="1A3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2018-12-05T06:17:00Z</dcterms:created>
  <dc:creator>是最爱大雄的多啦啊</dc:creator>
  <cp:lastModifiedBy>是最爱大雄的多啦啊</cp:lastModifiedBy>
  <dcterms:modified xsi:type="dcterms:W3CDTF">2018-12-05T06:20:39Z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